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W jaki sposób przygotować teczkę i co powinno się w niej znaleźć?</w:t>
      </w:r>
    </w:p>
    <w:p w:rsidR="00000000" w:rsidDel="00000000" w:rsidP="00000000" w:rsidRDefault="00000000" w:rsidRPr="00000000" w14:paraId="00000002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Pierwszym etapem egzaminu wstępnego jest ocena teczki z samodzielnie wykonanymi przez kandydata/kandydatkę pracami rysunkowymi i malarskimi. Zasady rekrutacji wyznaczają następujące limity: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0" w:afterAutospacing="0" w:line="276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minimum 5 prac – studium postaci z natury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0" w:afterAutospacing="0" w:line="276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minimum 5 prac – studium martwej natury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0" w:afterAutospacing="0" w:line="276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maksymalny rozmiar prac: 100 × 70 cm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120" w:line="276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maksymalna liczba prac: 25 sztuk</w:t>
      </w:r>
    </w:p>
    <w:p w:rsidR="00000000" w:rsidDel="00000000" w:rsidP="00000000" w:rsidRDefault="00000000" w:rsidRPr="00000000" w14:paraId="00000007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Teczka jest swojego rodzaju wizytówką, dlatego mile widziana jest jako zbiór prac prezentujących z jednej strony wysoki poziom warsztatu kandydata/kandydatki, a z drugiej jego/jej zainteresowania.</w:t>
      </w:r>
    </w:p>
    <w:p w:rsidR="00000000" w:rsidDel="00000000" w:rsidP="00000000" w:rsidRDefault="00000000" w:rsidRPr="00000000" w14:paraId="00000008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Obok obowiązkowych prac wykonanych z natury – studium modela i martwej natury – w teczce mogą (choć nie jest to wymagane regulaminem) znaleźć się wybrane realizacje dowolne – plansze ze szkicami, pejzaż, plakat, portret, ilustracje, kompozycje własne z wyobraźni, a nawet dokumentacja działań w innej technice (tkanina, formy przestrzenne, fotografia) – jeśli kandydat/kandydatka uzna je za swój atut.</w:t>
      </w:r>
    </w:p>
    <w:p w:rsidR="00000000" w:rsidDel="00000000" w:rsidP="00000000" w:rsidRDefault="00000000" w:rsidRPr="00000000" w14:paraId="00000009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Przykładowa teczka: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0" w:afterAutospacing="0" w:line="276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9 rysunków – studium modela z natury w różnych technikach (węgiel, ołówek, tusz, flamastry itp.)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0" w:afterAutospacing="0" w:line="276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2 rysunki – studium martwej natury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0" w:afterAutospacing="0" w:line="276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9 prac malarskich – studium martwej natury, technika akrylowa lub olejna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0" w:afterAutospacing="0" w:line="276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3 prace malarskie – portret, pejzaż, wnętrze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120" w:line="276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2 plansze wybranych szkiców malarskich i rysunkowych</w:t>
      </w:r>
    </w:p>
    <w:p w:rsidR="00000000" w:rsidDel="00000000" w:rsidP="00000000" w:rsidRDefault="00000000" w:rsidRPr="00000000" w14:paraId="0000000F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Prace powinny znajdować się w teczce i muszą być podpisane na odwrociach. Do teczki należy załączyć spis prac według wzoru (w załączeniu). </w:t>
      </w:r>
    </w:p>
    <w:p w:rsidR="00000000" w:rsidDel="00000000" w:rsidP="00000000" w:rsidRDefault="00000000" w:rsidRPr="00000000" w14:paraId="00000010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Jak wygląda egzamin praktyczny?</w:t>
      </w:r>
    </w:p>
    <w:p w:rsidR="00000000" w:rsidDel="00000000" w:rsidP="00000000" w:rsidRDefault="00000000" w:rsidRPr="00000000" w14:paraId="00000011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Część praktyczna egzaminu wstępnego składa się z trzech zadań, mających na celu sprawdzenie umiejętności warsztatowych oraz interpretacji zagadnień związanych z kompozycją malarską.</w:t>
      </w:r>
    </w:p>
    <w:p w:rsidR="00000000" w:rsidDel="00000000" w:rsidP="00000000" w:rsidRDefault="00000000" w:rsidRPr="00000000" w14:paraId="00000012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Pierwszego dnia egzamin z rysunku odbywa się od godziny 9.00 do 18.00, według poniższego harmonogramu:</w:t>
      </w:r>
    </w:p>
    <w:p w:rsidR="00000000" w:rsidDel="00000000" w:rsidP="00000000" w:rsidRDefault="00000000" w:rsidRPr="00000000" w14:paraId="00000013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9.00 – 11.00 –  piętnastominutowe szkice wykonane na formacie A4 techniką rysunkową (dwie pozy leżące, dwie pozy stojące, dwie pozy siedzące),</w:t>
      </w:r>
    </w:p>
    <w:p w:rsidR="00000000" w:rsidDel="00000000" w:rsidP="00000000" w:rsidRDefault="00000000" w:rsidRPr="00000000" w14:paraId="00000014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11.00 – 13.00 – studium postaci z natury w technice rysunkowej (ołówek, węgiel) na białym arkuszu 100×70 cm,</w:t>
      </w:r>
    </w:p>
    <w:p w:rsidR="00000000" w:rsidDel="00000000" w:rsidP="00000000" w:rsidRDefault="00000000" w:rsidRPr="00000000" w14:paraId="00000015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13.00 – 14.00 – przerwa,</w:t>
      </w:r>
    </w:p>
    <w:p w:rsidR="00000000" w:rsidDel="00000000" w:rsidP="00000000" w:rsidRDefault="00000000" w:rsidRPr="00000000" w14:paraId="00000016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14.00 – 18.00 – kontynuacja studium z natury.</w:t>
      </w:r>
    </w:p>
    <w:p w:rsidR="00000000" w:rsidDel="00000000" w:rsidP="00000000" w:rsidRDefault="00000000" w:rsidRPr="00000000" w14:paraId="00000017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Tego samego dnia należy przygotować podłoże malarskie z materiałów zapewnianych przez wydział – instrukcji dostarczają osoby prowadzące egzamin.</w:t>
      </w:r>
    </w:p>
    <w:p w:rsidR="00000000" w:rsidDel="00000000" w:rsidP="00000000" w:rsidRDefault="00000000" w:rsidRPr="00000000" w14:paraId="00000018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Drugiego dnia egzamin z malarstwa odbywa się od godziny 9.00 do 18.00, według poniższego harmonogramu:</w:t>
      </w:r>
    </w:p>
    <w:p w:rsidR="00000000" w:rsidDel="00000000" w:rsidP="00000000" w:rsidRDefault="00000000" w:rsidRPr="00000000" w14:paraId="00000019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9.00 – 13.00 – studium martwej natury w technice malarskiej (akryl, tempera, olej) na tekturze 100×70 cm,</w:t>
      </w:r>
    </w:p>
    <w:p w:rsidR="00000000" w:rsidDel="00000000" w:rsidP="00000000" w:rsidRDefault="00000000" w:rsidRPr="00000000" w14:paraId="0000001A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13.00 – 14.00 – przerwa,</w:t>
      </w:r>
    </w:p>
    <w:p w:rsidR="00000000" w:rsidDel="00000000" w:rsidP="00000000" w:rsidRDefault="00000000" w:rsidRPr="00000000" w14:paraId="0000001B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14.00 – 18.00 – kontynuacja studium martwej natury.</w:t>
      </w:r>
    </w:p>
    <w:p w:rsidR="00000000" w:rsidDel="00000000" w:rsidP="00000000" w:rsidRDefault="00000000" w:rsidRPr="00000000" w14:paraId="0000001C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Trzeciego dnia egzamin z kompozycji odbywa się od godziny 9.00 do 15.00, według poniższego harmonogramu:</w:t>
      </w:r>
    </w:p>
    <w:p w:rsidR="00000000" w:rsidDel="00000000" w:rsidP="00000000" w:rsidRDefault="00000000" w:rsidRPr="00000000" w14:paraId="0000001D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9.00 – 15.00 – kompozycja na zadany temat w technice malarskiej (akryl, tempera, olej) na tekturze 50×70 cm,</w:t>
      </w:r>
    </w:p>
    <w:p w:rsidR="00000000" w:rsidDel="00000000" w:rsidP="00000000" w:rsidRDefault="00000000" w:rsidRPr="00000000" w14:paraId="0000001E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15.00 – 15.30 – przygotowanie ekspozycji wykonanych prac egzaminacyjnych zgodnie z podaną przez prowadzącego instrukcją.</w:t>
      </w:r>
    </w:p>
    <w:p w:rsidR="00000000" w:rsidDel="00000000" w:rsidP="00000000" w:rsidRDefault="00000000" w:rsidRPr="00000000" w14:paraId="0000001F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Temat kompozycji podawany jest w dniu egzaminu.</w:t>
      </w:r>
    </w:p>
    <w:p w:rsidR="00000000" w:rsidDel="00000000" w:rsidP="00000000" w:rsidRDefault="00000000" w:rsidRPr="00000000" w14:paraId="00000020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Podczas egzaminu zabronione jest korzystanie z telefonów, komputerów, tabletów itp. (sprzęt na czas egzaminu pozostawiany jest w depozycie) oraz szkicowników czy materiałów wizualnych przygotowanych wcześniej. Dozwolone są wyłącznie materiały i narzędzia rysunkowe i malarskie.</w:t>
      </w:r>
    </w:p>
    <w:p w:rsidR="00000000" w:rsidDel="00000000" w:rsidP="00000000" w:rsidRDefault="00000000" w:rsidRPr="00000000" w14:paraId="00000021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Jak przebiega autoprezentacja, będąca częścią egzaminu wstępnego?</w:t>
      </w:r>
    </w:p>
    <w:p w:rsidR="00000000" w:rsidDel="00000000" w:rsidP="00000000" w:rsidRDefault="00000000" w:rsidRPr="00000000" w14:paraId="00000022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Celem autoprezentacji jest poznanie kandydata/kandydatki, a także jego/jej zainteresowań, nie tylko w zakresie wybranej dziedziny plastyki, ale również innych rodzajach twórczości.</w:t>
      </w:r>
    </w:p>
    <w:p w:rsidR="00000000" w:rsidDel="00000000" w:rsidP="00000000" w:rsidRDefault="00000000" w:rsidRPr="00000000" w14:paraId="00000023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Autoprezentacja to spotkanie z kilkuosobową komisją złożoną z dydaktyków/dydaktyczek Wydziału Malarstwa. Ta część egzaminu rozpoczyna się samodzielną wypowiedzią (max. 5 minut) a następnie ma formę otwartej i swobodnej rozmowy. Pytania komisji mogą dotyczyć zainteresowań, współczesnych wydarzeń artystycznych, motywacji kierującej wyborem kierunku malarstwo.</w:t>
      </w:r>
    </w:p>
    <w:p w:rsidR="00000000" w:rsidDel="00000000" w:rsidP="00000000" w:rsidRDefault="00000000" w:rsidRPr="00000000" w14:paraId="00000024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Czy rodzaj szkoły średniej, którą ukończyłem/ukończyłam ma wpływ na rezultat rekrutacji?</w:t>
      </w:r>
    </w:p>
    <w:p w:rsidR="00000000" w:rsidDel="00000000" w:rsidP="00000000" w:rsidRDefault="00000000" w:rsidRPr="00000000" w14:paraId="00000025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Nie. O pozytywnym rezultacie rekrutacji decydują wyłącznie elementy wymienione w rozdziale pierwszym </w:t>
      </w:r>
      <w:hyperlink r:id="rId7">
        <w:r w:rsidDel="00000000" w:rsidR="00000000" w:rsidRPr="00000000">
          <w:rPr>
            <w:rFonts w:ascii="Arial" w:cs="Arial" w:eastAsia="Arial" w:hAnsi="Arial"/>
            <w:sz w:val="30"/>
            <w:szCs w:val="30"/>
            <w:u w:val="single"/>
            <w:rtl w:val="0"/>
          </w:rPr>
          <w:t xml:space="preserve">Regulaminu</w:t>
        </w:r>
      </w:hyperlink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. Do odbywania studiów w Akademii Sztuk Pięknych w Warszawie może być dopuszczona osoba, która jednocześnie: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0" w:afterAutospacing="0" w:line="276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posiada świadectwo dojrzałości lub dokument równoważny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0" w:afterAutospacing="0" w:line="276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wykazuje odpowiednie zdolności artystyczne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0" w:afterAutospacing="0" w:line="276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uzyskała pozytywny wynik na egzaminie wstępnym, zajęła odpowiednią pozycję na liście rankingowej (wg liczby punktów uzyskanych w trakcie postępowania kwalifikacyjnego)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120" w:line="276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dostarczyła, w wyznaczonym terminie, orzeczenie lekarskie wydane przez ośrodek Medycyny Pracy, stwierdzające brak przeciwwskazań do podjęcia studiów przez kandydata na wybranym kierunku</w:t>
      </w:r>
    </w:p>
    <w:p w:rsidR="00000000" w:rsidDel="00000000" w:rsidP="00000000" w:rsidRDefault="00000000" w:rsidRPr="00000000" w14:paraId="0000002A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Czy możliwe jest określenie przybliżonej kwoty, jaką studenci/studentki miesięcznie przeznaczają na materiały potrzebne do realizacji programu?</w:t>
      </w:r>
    </w:p>
    <w:p w:rsidR="00000000" w:rsidDel="00000000" w:rsidP="00000000" w:rsidRDefault="00000000" w:rsidRPr="00000000" w14:paraId="0000002B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Określenie średniej kwoty wydawanej przez studentów/studentki na materiały artystyczne jest bardzo trudne. Szczególnie w przypadku edukacji na drugim, trzecim, czwartym i piątym roku, których program i środki artystycznego przekazu w dużej mierze dobierane są przez studentów/studentki indywidualnie.</w:t>
      </w:r>
    </w:p>
    <w:p w:rsidR="00000000" w:rsidDel="00000000" w:rsidP="00000000" w:rsidRDefault="00000000" w:rsidRPr="00000000" w14:paraId="0000002C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Również na pierwszym roku trudno o podobne uśrednienie. Można natomiast określić w przybliżeniu techniki, które przeważają w przebiegu edukacji na pierwszym roku, a tym samym pozwalają zorientować się uprzednio w cenach materiałów. Najczęściej wykorzystywaną w pracowniach malarskich techniką jest tradycyjna technika olejna na płótnie, z dopuszczeniem techniki akrylowej. Warto więc zapoznać się z cenami podobrazi, pędzli, farb, mediów potrzebnych do danej techniki. Ilość zużytych materiałów różni się w zależności od tempa pracy studenta/studentki, choć w ciągu miesiąca powstaje zwykle nie więcej niż dwa obrazy tzw. średniego formatu. W pracowniach rysunkowych przeważają tradycyjne techniki rysunkowe na papierze (ołówki, węgiel, tusz).</w:t>
      </w:r>
    </w:p>
    <w:p w:rsidR="00000000" w:rsidDel="00000000" w:rsidP="00000000" w:rsidRDefault="00000000" w:rsidRPr="00000000" w14:paraId="0000002D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Czy dostępne są programy finansowego wsparcia studentów/studentek?</w:t>
      </w:r>
    </w:p>
    <w:p w:rsidR="00000000" w:rsidDel="00000000" w:rsidP="00000000" w:rsidRDefault="00000000" w:rsidRPr="00000000" w14:paraId="0000002E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Studenci/studentki na każdym etapie edukacji mają prawo korzystać ze stypendium socjalnego, zapomogi oraz stypendium dla osób z niepełnosprawnościami.</w:t>
      </w:r>
    </w:p>
    <w:p w:rsidR="00000000" w:rsidDel="00000000" w:rsidP="00000000" w:rsidRDefault="00000000" w:rsidRPr="00000000" w14:paraId="0000002F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Istnieje również możliwość otrzymywania Stypendium Rektora, przyznawanego na podstawie średniej ocen, osiągnięć artystycznych i naukowych oraz sportowych. Mogą się o nie ubiegać studenci/studentki wszystkich lat. W przypadku osób studiujących na pierwszym roku stypendium jest przyznawane na podstawie odrębnych przepisów.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120" w:line="276" w:lineRule="auto"/>
        <w:ind w:left="720" w:hanging="360"/>
        <w:rPr>
          <w:b w:val="1"/>
        </w:rPr>
      </w:pPr>
      <w:hyperlink r:id="rId8">
        <w:r w:rsidDel="00000000" w:rsidR="00000000" w:rsidRPr="00000000">
          <w:rPr>
            <w:rFonts w:ascii="Arial" w:cs="Arial" w:eastAsia="Arial" w:hAnsi="Arial"/>
            <w:b w:val="1"/>
            <w:sz w:val="30"/>
            <w:szCs w:val="30"/>
            <w:u w:val="single"/>
            <w:rtl w:val="0"/>
          </w:rPr>
          <w:t xml:space="preserve">Informacja o stypendiach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Czy możliwe jest indywidualne wzbogacanie programu kształcenia o przedmioty niebędące bezpośrednio związane z malarstwem?</w:t>
      </w:r>
    </w:p>
    <w:p w:rsidR="00000000" w:rsidDel="00000000" w:rsidP="00000000" w:rsidRDefault="00000000" w:rsidRPr="00000000" w14:paraId="00000032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Droga twórcza, jaką przechodzą studenci/studentki w czasie studiów to często proces dynamiczny i trudno jest przewidzieć, jakie potrzeby merytoryczne pojawią się w toku edukacji. Studenci/studentki drugiego roku (i starszych lat) zobowiązani/zobowiązane są do wybrania specjalizacji. Oprócz pracowni specjalizacyjnych proponowanych przez Wydział Malarstwa, dostępne są również zajęcia oferowane przez inne wydziały Akademii Sztuk Pięknych w Warszawie.</w:t>
      </w:r>
    </w:p>
    <w:p w:rsidR="00000000" w:rsidDel="00000000" w:rsidP="00000000" w:rsidRDefault="00000000" w:rsidRPr="00000000" w14:paraId="00000033">
      <w:p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220" w:line="276" w:lineRule="auto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Pytania dotyczące rekrutacji możecie kierować również do: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0" w:afterAutospacing="0" w:line="276" w:lineRule="auto"/>
        <w:ind w:left="720" w:hanging="36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Tamara Grabińska, dziekanat –</w:t>
        <w:br w:type="textWrapping"/>
        <w:t xml:space="preserve">tamara.grabinska@asp.waw.pl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pBdr>
          <w:top w:color="e2e8f0" w:space="0" w:sz="0" w:val="none"/>
          <w:left w:color="e2e8f0" w:space="0" w:sz="0" w:val="none"/>
          <w:bottom w:color="e2e8f0" w:space="0" w:sz="0" w:val="none"/>
          <w:right w:color="e2e8f0" w:space="0" w:sz="0" w:val="none"/>
          <w:between w:color="e2e8f0" w:space="0" w:sz="0" w:val="none"/>
        </w:pBdr>
        <w:spacing w:after="120" w:line="276" w:lineRule="auto"/>
        <w:ind w:left="720" w:hanging="36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mgr Sebastian Winkler, asystent –</w:t>
        <w:br w:type="textWrapping"/>
        <w:t xml:space="preserve">sebastian.winkler@asp.waw.pl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30"/>
        <w:szCs w:val="3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pPr>
      <w:suppressAutoHyphens w:val="1"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WW8Num1z0" w:customStyle="1">
    <w:name w:val="WW8Num1z0"/>
    <w:rPr>
      <w:rFonts w:ascii="Symbol" w:cs="Symbol" w:hAnsi="Symbol" w:hint="default"/>
      <w:color w:val="000000"/>
      <w:sz w:val="20"/>
      <w:szCs w:val="27"/>
    </w:rPr>
  </w:style>
  <w:style w:type="character" w:styleId="WW8Num1z1" w:customStyle="1">
    <w:name w:val="WW8Num1z1"/>
    <w:rPr>
      <w:rFonts w:ascii="Courier New" w:cs="Courier New" w:hAnsi="Courier New" w:hint="default"/>
      <w:sz w:val="20"/>
    </w:rPr>
  </w:style>
  <w:style w:type="character" w:styleId="WW8Num1z2" w:customStyle="1">
    <w:name w:val="WW8Num1z2"/>
    <w:rPr>
      <w:rFonts w:ascii="Wingdings" w:cs="Wingdings" w:hAnsi="Wingdings" w:hint="default"/>
      <w:sz w:val="20"/>
    </w:rPr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Symbol" w:cs="Symbol" w:hAnsi="Symbol" w:hint="default"/>
      <w:color w:val="000000"/>
      <w:sz w:val="20"/>
      <w:szCs w:val="27"/>
    </w:rPr>
  </w:style>
  <w:style w:type="character" w:styleId="WW8Num3z1" w:customStyle="1">
    <w:name w:val="WW8Num3z1"/>
    <w:rPr>
      <w:rFonts w:ascii="Courier New" w:cs="Courier New" w:hAnsi="Courier New" w:hint="default"/>
      <w:sz w:val="20"/>
    </w:rPr>
  </w:style>
  <w:style w:type="character" w:styleId="WW8Num3z2" w:customStyle="1">
    <w:name w:val="WW8Num3z2"/>
    <w:rPr>
      <w:rFonts w:ascii="Wingdings" w:cs="Wingdings" w:hAnsi="Wingdings" w:hint="default"/>
      <w:sz w:val="20"/>
    </w:rPr>
  </w:style>
  <w:style w:type="character" w:styleId="WW8Num4z0" w:customStyle="1">
    <w:name w:val="WW8Num4z0"/>
    <w:rPr>
      <w:rFonts w:ascii="Symbol" w:cs="Symbol" w:hAnsi="Symbol" w:hint="default"/>
      <w:color w:val="000000"/>
      <w:sz w:val="20"/>
      <w:szCs w:val="27"/>
    </w:rPr>
  </w:style>
  <w:style w:type="character" w:styleId="WW8Num4z1" w:customStyle="1">
    <w:name w:val="WW8Num4z1"/>
    <w:rPr>
      <w:rFonts w:ascii="Courier New" w:cs="Courier New" w:hAnsi="Courier New" w:hint="default"/>
      <w:sz w:val="20"/>
    </w:rPr>
  </w:style>
  <w:style w:type="character" w:styleId="WW8Num4z2" w:customStyle="1">
    <w:name w:val="WW8Num4z2"/>
    <w:rPr>
      <w:rFonts w:ascii="Wingdings" w:cs="Wingdings" w:hAnsi="Wingdings" w:hint="default"/>
      <w:sz w:val="20"/>
    </w:rPr>
  </w:style>
  <w:style w:type="character" w:styleId="WW8Num5z0" w:customStyle="1">
    <w:name w:val="WW8Num5z0"/>
    <w:rPr>
      <w:rFonts w:ascii="Symbol" w:cs="Symbol" w:hAnsi="Symbol" w:hint="default"/>
      <w:color w:val="000000"/>
      <w:sz w:val="20"/>
      <w:szCs w:val="27"/>
    </w:rPr>
  </w:style>
  <w:style w:type="character" w:styleId="WW8Num5z1" w:customStyle="1">
    <w:name w:val="WW8Num5z1"/>
    <w:rPr>
      <w:rFonts w:ascii="Courier New" w:cs="Courier New" w:hAnsi="Courier New" w:hint="default"/>
      <w:sz w:val="20"/>
    </w:rPr>
  </w:style>
  <w:style w:type="character" w:styleId="WW8Num5z2" w:customStyle="1">
    <w:name w:val="WW8Num5z2"/>
    <w:rPr>
      <w:rFonts w:ascii="Wingdings" w:cs="Wingdings" w:hAnsi="Wingdings" w:hint="default"/>
      <w:sz w:val="20"/>
    </w:rPr>
  </w:style>
  <w:style w:type="character" w:styleId="WW8Num6z0" w:customStyle="1">
    <w:name w:val="WW8Num6z0"/>
    <w:rPr>
      <w:rFonts w:ascii="Symbol" w:cs="Symbol" w:hAnsi="Symbol" w:hint="default"/>
      <w:color w:val="ff467d"/>
      <w:sz w:val="20"/>
      <w:szCs w:val="27"/>
    </w:rPr>
  </w:style>
  <w:style w:type="character" w:styleId="WW8Num6z1" w:customStyle="1">
    <w:name w:val="WW8Num6z1"/>
    <w:rPr>
      <w:rFonts w:ascii="Courier New" w:cs="Courier New" w:hAnsi="Courier New" w:hint="default"/>
      <w:sz w:val="20"/>
    </w:rPr>
  </w:style>
  <w:style w:type="character" w:styleId="WW8Num6z2" w:customStyle="1">
    <w:name w:val="WW8Num6z2"/>
    <w:rPr>
      <w:rFonts w:ascii="Wingdings" w:cs="Wingdings" w:hAnsi="Wingdings" w:hint="default"/>
      <w:sz w:val="20"/>
    </w:rPr>
  </w:style>
  <w:style w:type="character" w:styleId="Domylnaczcionkaakapitu1" w:customStyle="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styleId="Nagwek1" w:customStyle="1">
    <w:name w:val="Nagłówek1"/>
    <w:basedOn w:val="Normalny"/>
    <w:next w:val="Tekstpodstawowy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ks" w:customStyle="1">
    <w:name w:val="Indeks"/>
    <w:basedOn w:val="Normalny"/>
    <w:pPr>
      <w:suppressLineNumbers w:val="1"/>
    </w:pPr>
    <w:rPr>
      <w:rFonts w:cs="Lucida Sans"/>
    </w:rPr>
  </w:style>
  <w:style w:type="paragraph" w:styleId="NormalnyWeb">
    <w:name w:val="Normal (Web)"/>
    <w:basedOn w:val="Normalny"/>
    <w:pPr>
      <w:spacing w:after="280" w:before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niotwarte.asp.waw.pl/wp-content/uploads/2024/03/zal.-nr-1-do-Uchwaly-nr-19.2023-Regulamin-zasad-i-kryteriow-przyjec-na-studia-2.pdf" TargetMode="External"/><Relationship Id="rId8" Type="http://schemas.openxmlformats.org/officeDocument/2006/relationships/hyperlink" Target="https://asp.waw.pl/stypendia-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Xe9WIGRvtedrhm7iGw/9ISqoGA==">CgMxLjA4AHIhMTRQbXdqSklIbHlrM2FYY3U0dGcxSVVGQkRMWXprT0RS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2024-02-22T12:24:00Z</dcterms:created>
  <dc:creator>student</dc:creator>
</cp:coreProperties>
</file>